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河北省文安县</w:t>
      </w:r>
      <w:r>
        <w:rPr>
          <w:rFonts w:hint="eastAsia" w:ascii="方正小标宋简体" w:hAnsi="黑体" w:eastAsia="方正小标宋简体" w:cs="Arial"/>
          <w:color w:val="333333"/>
          <w:sz w:val="44"/>
          <w:szCs w:val="44"/>
          <w:shd w:val="clear" w:color="auto" w:fill="FFFFFF"/>
          <w:lang w:eastAsia="zh-CN"/>
        </w:rPr>
        <w:t>文安</w:t>
      </w:r>
      <w:r>
        <w:rPr>
          <w:rFonts w:hint="eastAsia" w:ascii="方正小标宋简体" w:hAnsi="黑体" w:eastAsia="方正小标宋简体" w:cs="Arial"/>
          <w:color w:val="333333"/>
          <w:sz w:val="44"/>
          <w:szCs w:val="44"/>
          <w:shd w:val="clear" w:color="auto" w:fill="FFFFFF"/>
        </w:rPr>
        <w:t>镇人民政府</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8</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w:t>
      </w: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年部门决算公开如下：</w:t>
      </w:r>
    </w:p>
    <w:p>
      <w:pPr>
        <w:widowControl/>
        <w:numPr>
          <w:ilvl w:val="0"/>
          <w:numId w:val="0"/>
        </w:numPr>
        <w:spacing w:line="584" w:lineRule="exact"/>
        <w:jc w:val="left"/>
        <w:rPr>
          <w:rFonts w:eastAsia="黑体" w:cs="Times New Roman"/>
          <w:sz w:val="32"/>
          <w:szCs w:val="32"/>
        </w:rPr>
      </w:pPr>
      <w:r>
        <w:rPr>
          <w:rFonts w:hint="eastAsia" w:eastAsia="黑体" w:cs="Times New Roman"/>
          <w:sz w:val="32"/>
          <w:szCs w:val="32"/>
          <w:lang w:eastAsia="zh-CN"/>
        </w:rPr>
        <w:t>第一部分：文安县文安镇人民政府</w:t>
      </w:r>
      <w:r>
        <w:rPr>
          <w:rFonts w:hint="eastAsia" w:eastAsia="黑体" w:cs="Times New Roman"/>
          <w:sz w:val="32"/>
          <w:szCs w:val="32"/>
          <w:lang w:val="en-US" w:eastAsia="zh-CN"/>
        </w:rPr>
        <w:t>2018年度</w:t>
      </w:r>
      <w:r>
        <w:rPr>
          <w:rFonts w:eastAsia="黑体" w:cs="Times New Roman"/>
          <w:sz w:val="32"/>
          <w:szCs w:val="32"/>
        </w:rPr>
        <w:t>部门</w:t>
      </w:r>
      <w:r>
        <w:rPr>
          <w:rFonts w:hint="eastAsia" w:eastAsia="黑体" w:cs="Times New Roman"/>
          <w:sz w:val="32"/>
          <w:szCs w:val="32"/>
          <w:lang w:eastAsia="zh-CN"/>
        </w:rPr>
        <w:t>概况</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autoSpaceDE w:val="0"/>
        <w:autoSpaceDN w:val="0"/>
        <w:snapToGrid w:val="0"/>
        <w:spacing w:line="584" w:lineRule="exact"/>
        <w:rPr>
          <w:rFonts w:eastAsia="仿宋_GB2312" w:cs="Times New Roman"/>
          <w:color w:val="333333"/>
          <w:kern w:val="0"/>
          <w:sz w:val="32"/>
          <w:szCs w:val="32"/>
          <w:shd w:val="clear" w:color="auto" w:fill="FFFFFF"/>
        </w:rPr>
      </w:pP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机构设置：</w:t>
      </w:r>
    </w:p>
    <w:p>
      <w:pPr>
        <w:widowControl/>
        <w:spacing w:line="584" w:lineRule="exact"/>
        <w:ind w:firstLine="560" w:firstLineChars="200"/>
        <w:jc w:val="left"/>
        <w:rPr>
          <w:rFonts w:eastAsia="黑体" w:cs="Times New Roman"/>
          <w:sz w:val="28"/>
          <w:szCs w:val="28"/>
        </w:rPr>
      </w:pP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7"/>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6"/>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40"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lang w:eastAsia="zh-CN"/>
              </w:rPr>
              <w:t>文安</w:t>
            </w:r>
            <w:r>
              <w:rPr>
                <w:rFonts w:hint="eastAsia" w:ascii="仿宋_GB2312" w:hAnsi="Arial" w:cs="Arial"/>
                <w:color w:val="333333"/>
                <w:szCs w:val="24"/>
                <w:shd w:val="clear" w:color="auto" w:fill="FFFFFF"/>
              </w:rPr>
              <w:t>镇人民政府</w:t>
            </w:r>
          </w:p>
        </w:tc>
        <w:tc>
          <w:tcPr>
            <w:tcW w:w="180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正科</w:t>
            </w:r>
          </w:p>
        </w:tc>
        <w:tc>
          <w:tcPr>
            <w:tcW w:w="2333" w:type="dxa"/>
            <w:vAlign w:val="center"/>
          </w:tcPr>
          <w:p>
            <w:pPr>
              <w:pStyle w:val="6"/>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640" w:firstLineChars="200"/>
        <w:rPr>
          <w:rFonts w:eastAsia="黑体" w:cs="Times New Roman"/>
          <w:sz w:val="32"/>
          <w:szCs w:val="32"/>
        </w:rPr>
      </w:pPr>
      <w:r>
        <w:rPr>
          <w:rFonts w:hint="eastAsia" w:eastAsia="黑体" w:cs="Times New Roman"/>
          <w:sz w:val="32"/>
          <w:szCs w:val="32"/>
          <w:lang w:eastAsia="zh-CN"/>
        </w:rPr>
        <w:t>第二部分：文安县文安镇人民政府</w:t>
      </w:r>
      <w:r>
        <w:rPr>
          <w:rFonts w:hint="eastAsia" w:eastAsia="黑体" w:cs="Times New Roman"/>
          <w:sz w:val="32"/>
          <w:szCs w:val="32"/>
          <w:lang w:val="en-US" w:eastAsia="zh-CN"/>
        </w:rPr>
        <w:t>2018年度</w:t>
      </w:r>
      <w:r>
        <w:rPr>
          <w:rFonts w:eastAsia="黑体" w:cs="Times New Roman"/>
          <w:sz w:val="32"/>
          <w:szCs w:val="32"/>
        </w:rPr>
        <w:t>部门决算报表</w:t>
      </w:r>
      <w:r>
        <w:rPr>
          <w:rFonts w:hint="eastAsia" w:eastAsia="黑体" w:cs="Times New Roman"/>
          <w:sz w:val="32"/>
          <w:szCs w:val="32"/>
        </w:rPr>
        <w:t>（详见附表）</w:t>
      </w:r>
    </w:p>
    <w:p>
      <w:pPr>
        <w:spacing w:line="584" w:lineRule="exact"/>
        <w:ind w:firstLine="640" w:firstLineChars="200"/>
        <w:rPr>
          <w:rFonts w:hint="eastAsia" w:ascii="黑体" w:eastAsia="黑体" w:cs="Times New Roman"/>
          <w:sz w:val="32"/>
          <w:szCs w:val="32"/>
        </w:rPr>
      </w:pPr>
      <w:r>
        <w:rPr>
          <w:rFonts w:hint="eastAsia" w:ascii="黑体" w:eastAsia="黑体" w:cs="Times New Roman"/>
          <w:sz w:val="32"/>
          <w:szCs w:val="32"/>
          <w:lang w:eastAsia="zh-CN"/>
        </w:rPr>
        <w:t>第三部分：</w:t>
      </w:r>
      <w:r>
        <w:rPr>
          <w:rFonts w:hint="eastAsia" w:eastAsia="黑体" w:cs="Times New Roman"/>
          <w:sz w:val="32"/>
          <w:szCs w:val="32"/>
          <w:lang w:eastAsia="zh-CN"/>
        </w:rPr>
        <w:t>文安县文安镇人民政府</w:t>
      </w:r>
      <w:r>
        <w:rPr>
          <w:rFonts w:hint="eastAsia" w:ascii="黑体" w:eastAsia="黑体" w:cs="Times New Roman"/>
          <w:sz w:val="32"/>
          <w:szCs w:val="32"/>
        </w:rPr>
        <w:t>201</w:t>
      </w:r>
      <w:r>
        <w:rPr>
          <w:rFonts w:hint="eastAsia" w:ascii="黑体" w:eastAsia="黑体" w:cs="Times New Roman"/>
          <w:sz w:val="32"/>
          <w:szCs w:val="32"/>
          <w:lang w:val="en-US" w:eastAsia="zh-CN"/>
        </w:rPr>
        <w:t>8</w:t>
      </w:r>
      <w:r>
        <w:rPr>
          <w:rFonts w:hint="eastAsia" w:ascii="黑体" w:eastAsia="黑体" w:cs="Times New Roman"/>
          <w:sz w:val="32"/>
          <w:szCs w:val="32"/>
        </w:rPr>
        <w:t>年度部门决算情况说明</w:t>
      </w:r>
    </w:p>
    <w:p>
      <w:pPr>
        <w:snapToGrid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一、</w:t>
      </w:r>
      <w:r>
        <w:rPr>
          <w:rFonts w:hint="eastAsia" w:ascii="楷体_GB2312" w:eastAsia="楷体_GB2312" w:cs="Times New Roman"/>
          <w:b/>
          <w:sz w:val="32"/>
          <w:szCs w:val="32"/>
        </w:rPr>
        <w:t>收入支出决算总体情况说明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本部门</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eastAsia="仿宋_GB2312" w:cs="DengXian-Regular"/>
          <w:sz w:val="32"/>
          <w:szCs w:val="32"/>
        </w:rPr>
        <w:t>收支总计（含结转和结余）</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3737.94</w:t>
      </w:r>
      <w:r>
        <w:rPr>
          <w:rFonts w:hint="eastAsia" w:ascii="仿宋_GB2312" w:hAnsi="仿宋_GB2312" w:eastAsia="仿宋_GB2312" w:cs="仿宋_GB2312"/>
          <w:kern w:val="0"/>
          <w:sz w:val="32"/>
          <w:szCs w:val="32"/>
        </w:rPr>
        <w:t>万元，</w:t>
      </w:r>
      <w:r>
        <w:rPr>
          <w:rFonts w:hint="eastAsia" w:ascii="仿宋_GB2312" w:eastAsia="仿宋_GB2312" w:cs="DengXian-Regular"/>
          <w:sz w:val="32"/>
          <w:szCs w:val="32"/>
        </w:rPr>
        <w:t>与2017年度决算相比，收</w:t>
      </w:r>
      <w:r>
        <w:rPr>
          <w:rFonts w:hint="eastAsia" w:ascii="仿宋_GB2312" w:eastAsia="仿宋_GB2312" w:cs="DengXian-Regular"/>
          <w:sz w:val="32"/>
          <w:szCs w:val="32"/>
          <w:lang w:eastAsia="zh-CN"/>
        </w:rPr>
        <w:t>支各减少</w:t>
      </w:r>
      <w:r>
        <w:rPr>
          <w:rFonts w:hint="eastAsia" w:ascii="仿宋_GB2312" w:eastAsia="仿宋_GB2312" w:cs="DengXian-Regular"/>
          <w:sz w:val="32"/>
          <w:szCs w:val="32"/>
          <w:lang w:val="en-US" w:eastAsia="zh-CN"/>
        </w:rPr>
        <w:t>13672.27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下降</w:t>
      </w:r>
      <w:r>
        <w:rPr>
          <w:rFonts w:hint="eastAsia" w:ascii="仿宋_GB2312" w:eastAsia="仿宋_GB2312" w:cs="DengXian-Regular"/>
          <w:sz w:val="32"/>
          <w:szCs w:val="32"/>
          <w:lang w:val="en-US" w:eastAsia="zh-CN"/>
        </w:rPr>
        <w:t>78.5</w:t>
      </w:r>
      <w:r>
        <w:rPr>
          <w:rFonts w:hint="eastAsia" w:ascii="仿宋_GB2312" w:eastAsia="仿宋_GB2312" w:cs="DengXian-Regular"/>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主要原因为征地补偿支出减少，上级财政拨款减少。</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收入决算情况说明</w:t>
      </w:r>
    </w:p>
    <w:p>
      <w:pPr>
        <w:widowControl/>
        <w:spacing w:line="54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eastAsia="仿宋_GB2312" w:cs="DengXian-Regular"/>
          <w:sz w:val="32"/>
          <w:szCs w:val="32"/>
        </w:rPr>
        <w:t>本部门2018年度本年收入合计</w:t>
      </w:r>
      <w:r>
        <w:rPr>
          <w:rFonts w:hint="eastAsia" w:ascii="仿宋_GB2312" w:hAnsi="仿宋_GB2312" w:eastAsia="仿宋_GB2312" w:cs="仿宋_GB2312"/>
          <w:kern w:val="0"/>
          <w:sz w:val="32"/>
          <w:szCs w:val="32"/>
          <w:lang w:val="en-US" w:eastAsia="zh-CN"/>
        </w:rPr>
        <w:t>3737.94</w:t>
      </w:r>
      <w:r>
        <w:rPr>
          <w:rFonts w:hint="eastAsia" w:ascii="仿宋_GB2312" w:hAnsi="仿宋_GB2312" w:eastAsia="仿宋_GB2312" w:cs="仿宋_GB2312"/>
          <w:kern w:val="0"/>
          <w:sz w:val="32"/>
          <w:szCs w:val="32"/>
        </w:rPr>
        <w:t>万元，其中：财政拨款收入</w:t>
      </w:r>
      <w:r>
        <w:rPr>
          <w:rFonts w:hint="eastAsia" w:ascii="仿宋_GB2312" w:hAnsi="仿宋_GB2312" w:eastAsia="仿宋_GB2312" w:cs="仿宋_GB2312"/>
          <w:kern w:val="0"/>
          <w:sz w:val="32"/>
          <w:szCs w:val="32"/>
          <w:lang w:val="en-US" w:eastAsia="zh-CN"/>
        </w:rPr>
        <w:t>3737.94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占比</w:t>
      </w:r>
      <w:r>
        <w:rPr>
          <w:rFonts w:hint="eastAsia" w:ascii="仿宋_GB2312" w:hAnsi="仿宋_GB2312" w:eastAsia="仿宋_GB2312" w:cs="仿宋_GB2312"/>
          <w:kern w:val="0"/>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hAnsi="仿宋_GB2312" w:eastAsia="仿宋_GB2312" w:cs="仿宋_GB2312"/>
          <w:kern w:val="0"/>
          <w:sz w:val="32"/>
          <w:szCs w:val="32"/>
          <w:lang w:val="en-US"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lang w:eastAsia="zh-CN"/>
        </w:rPr>
        <w:t>三、</w:t>
      </w:r>
      <w:r>
        <w:rPr>
          <w:rFonts w:hint="eastAsia" w:ascii="楷体_GB2312" w:eastAsia="楷体_GB2312" w:cs="Times New Roman"/>
          <w:b/>
          <w:sz w:val="32"/>
          <w:szCs w:val="32"/>
        </w:rPr>
        <w:t>支出决算情况说明</w:t>
      </w:r>
    </w:p>
    <w:p>
      <w:pPr>
        <w:widowControl/>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eastAsia="仿宋_GB2312" w:cs="DengXian-Regular"/>
          <w:sz w:val="32"/>
          <w:szCs w:val="32"/>
        </w:rPr>
        <w:t>本部门2018年度本年支出合计</w:t>
      </w:r>
      <w:r>
        <w:rPr>
          <w:rFonts w:hint="eastAsia" w:ascii="仿宋_GB2312" w:hAnsi="仿宋_GB2312" w:eastAsia="仿宋_GB2312" w:cs="仿宋_GB2312"/>
          <w:kern w:val="0"/>
          <w:sz w:val="32"/>
          <w:szCs w:val="32"/>
          <w:lang w:val="en-US" w:eastAsia="zh-CN"/>
        </w:rPr>
        <w:t>3737.94</w:t>
      </w:r>
      <w:r>
        <w:rPr>
          <w:rFonts w:hint="eastAsia" w:ascii="仿宋_GB2312" w:hAnsi="仿宋_GB2312" w:eastAsia="仿宋_GB2312" w:cs="仿宋_GB2312"/>
          <w:kern w:val="0"/>
          <w:sz w:val="32"/>
          <w:szCs w:val="32"/>
        </w:rPr>
        <w:t>万元，其中：基本支出</w:t>
      </w:r>
      <w:r>
        <w:rPr>
          <w:rFonts w:hint="eastAsia" w:ascii="仿宋_GB2312" w:hAnsi="仿宋_GB2312" w:eastAsia="仿宋_GB2312" w:cs="仿宋_GB2312"/>
          <w:kern w:val="0"/>
          <w:sz w:val="32"/>
          <w:szCs w:val="32"/>
          <w:lang w:val="en-US" w:eastAsia="zh-CN"/>
        </w:rPr>
        <w:t>2280.46</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lang w:val="en-US" w:eastAsia="zh-CN"/>
        </w:rPr>
        <w:t>61%</w:t>
      </w:r>
      <w:r>
        <w:rPr>
          <w:rFonts w:hint="eastAsia" w:ascii="仿宋_GB2312" w:hAnsi="仿宋_GB2312" w:eastAsia="仿宋_GB2312" w:cs="仿宋_GB2312"/>
          <w:kern w:val="0"/>
          <w:sz w:val="32"/>
          <w:szCs w:val="32"/>
        </w:rPr>
        <w:t>；项目支出</w:t>
      </w:r>
      <w:r>
        <w:rPr>
          <w:rFonts w:hint="eastAsia" w:ascii="仿宋_GB2312" w:hAnsi="仿宋_GB2312" w:eastAsia="仿宋_GB2312" w:cs="仿宋_GB2312"/>
          <w:kern w:val="0"/>
          <w:sz w:val="32"/>
          <w:szCs w:val="32"/>
          <w:lang w:val="en-US" w:eastAsia="zh-CN"/>
        </w:rPr>
        <w:t>1457.48</w:t>
      </w:r>
      <w:r>
        <w:rPr>
          <w:rFonts w:hint="eastAsia" w:ascii="仿宋_GB2312" w:hAnsi="仿宋_GB2312" w:eastAsia="仿宋_GB2312" w:cs="仿宋_GB2312"/>
          <w:kern w:val="0"/>
          <w:sz w:val="32"/>
          <w:szCs w:val="32"/>
        </w:rPr>
        <w:t>万</w:t>
      </w:r>
      <w:r>
        <w:rPr>
          <w:rFonts w:hint="eastAsia" w:ascii="仿宋_GB2312" w:hAnsi="仿宋_GB2312" w:eastAsia="仿宋_GB2312" w:cs="仿宋_GB2312"/>
          <w:kern w:val="0"/>
          <w:sz w:val="32"/>
          <w:szCs w:val="32"/>
          <w:lang w:eastAsia="zh-CN"/>
        </w:rPr>
        <w:t>元，占</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w:t>
      </w:r>
    </w:p>
    <w:p>
      <w:pPr>
        <w:widowControl/>
        <w:spacing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lang w:eastAsia="zh-CN"/>
        </w:rPr>
        <w:t>四、</w:t>
      </w:r>
      <w:r>
        <w:rPr>
          <w:rFonts w:hint="eastAsia" w:ascii="楷体_GB2312" w:eastAsia="楷体_GB2312" w:cs="Times New Roman"/>
          <w:b/>
          <w:sz w:val="32"/>
          <w:szCs w:val="32"/>
        </w:rPr>
        <w:t>财政拨款收入支出决算总体情况说明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hAnsi="仿宋_GB2312" w:eastAsia="仿宋_GB2312" w:cs="仿宋_GB2312"/>
          <w:kern w:val="0"/>
          <w:sz w:val="32"/>
          <w:szCs w:val="32"/>
          <w:lang w:val="en-US" w:eastAsia="zh-CN"/>
        </w:rPr>
        <w:t>3737.94</w:t>
      </w:r>
      <w:r>
        <w:rPr>
          <w:rFonts w:hint="eastAsia" w:ascii="仿宋_GB2312" w:eastAsia="仿宋_GB2312" w:cs="DengXian-Regular"/>
          <w:sz w:val="32"/>
          <w:szCs w:val="32"/>
        </w:rPr>
        <w:t>万元,比2017年度</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13672.27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78.5%</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lang w:eastAsia="zh-CN"/>
        </w:rPr>
        <w:t>征地补偿支出减少；</w:t>
      </w:r>
      <w:r>
        <w:rPr>
          <w:rFonts w:hint="eastAsia" w:ascii="仿宋_GB2312" w:eastAsia="仿宋_GB2312" w:cs="DengXian-Regular"/>
          <w:sz w:val="32"/>
          <w:szCs w:val="32"/>
        </w:rPr>
        <w:t>本年支出</w:t>
      </w:r>
      <w:r>
        <w:rPr>
          <w:rFonts w:hint="eastAsia" w:ascii="仿宋_GB2312" w:hAnsi="仿宋_GB2312" w:eastAsia="仿宋_GB2312" w:cs="仿宋_GB2312"/>
          <w:kern w:val="0"/>
          <w:sz w:val="32"/>
          <w:szCs w:val="32"/>
          <w:lang w:val="en-US" w:eastAsia="zh-CN"/>
        </w:rPr>
        <w:t>3737.94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13672.27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78.5</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lang w:eastAsia="zh-CN"/>
        </w:rPr>
        <w:t>征地补偿支出减少</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3126.51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 xml:space="preserve"> 21.07 </w:t>
      </w:r>
      <w:r>
        <w:rPr>
          <w:rFonts w:hint="eastAsia" w:ascii="仿宋_GB2312" w:eastAsia="仿宋_GB2312" w:cs="DengXian-Regular"/>
          <w:sz w:val="32"/>
          <w:szCs w:val="32"/>
        </w:rPr>
        <w:t>万元；主要是</w:t>
      </w:r>
      <w:r>
        <w:rPr>
          <w:rFonts w:hint="eastAsia" w:ascii="仿宋_GB2312" w:hAnsi="仿宋_GB2312" w:eastAsia="仿宋_GB2312" w:cs="仿宋_GB2312"/>
          <w:kern w:val="0"/>
          <w:sz w:val="32"/>
          <w:szCs w:val="32"/>
        </w:rPr>
        <w:t>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3126.51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 xml:space="preserve"> 21.07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0.68</w:t>
      </w:r>
      <w:r>
        <w:rPr>
          <w:rFonts w:hint="eastAsia" w:ascii="仿宋_GB2312" w:eastAsia="仿宋_GB2312" w:cs="DengXian-Regular"/>
          <w:sz w:val="32"/>
          <w:szCs w:val="32"/>
        </w:rPr>
        <w:t>%，主要是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611.43</w:t>
      </w:r>
      <w:r>
        <w:rPr>
          <w:rFonts w:hint="eastAsia" w:ascii="仿宋_GB2312" w:eastAsia="仿宋_GB2312" w:cs="DengXian-Regular"/>
          <w:sz w:val="32"/>
          <w:szCs w:val="32"/>
        </w:rPr>
        <w:t>万元，比2017年度</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13693.34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 xml:space="preserve">96 </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征地补偿支出减少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611.43</w:t>
      </w:r>
      <w:r>
        <w:rPr>
          <w:rFonts w:hint="eastAsia" w:ascii="仿宋_GB2312" w:eastAsia="仿宋_GB2312" w:cs="DengXian-Regular"/>
          <w:sz w:val="32"/>
          <w:szCs w:val="32"/>
        </w:rPr>
        <w:t>万元，比2017年度</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13693.34</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减少</w:t>
      </w:r>
      <w:r>
        <w:rPr>
          <w:rFonts w:hint="eastAsia" w:ascii="仿宋_GB2312" w:eastAsia="仿宋_GB2312" w:cs="DengXian-Regular"/>
          <w:sz w:val="32"/>
          <w:szCs w:val="32"/>
          <w:lang w:val="en-US" w:eastAsia="zh-CN"/>
        </w:rPr>
        <w:t xml:space="preserve">96 </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征地补偿支出减少。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3737.94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182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1685.91</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hAnsi="仿宋_GB2312" w:eastAsia="仿宋_GB2312" w:cs="仿宋_GB2312"/>
          <w:kern w:val="0"/>
          <w:sz w:val="32"/>
          <w:szCs w:val="32"/>
          <w:lang w:eastAsia="zh-CN"/>
        </w:rPr>
        <w:t>；</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3737.94万元，完成年初预算的182%，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1685.91</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152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1074.48</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、追加项目、</w:t>
      </w:r>
      <w:r>
        <w:rPr>
          <w:rFonts w:hint="eastAsia" w:ascii="仿宋_GB2312" w:hAnsi="仿宋_GB2312" w:eastAsia="仿宋_GB2312" w:cs="仿宋_GB2312"/>
          <w:kern w:val="0"/>
          <w:sz w:val="32"/>
          <w:szCs w:val="32"/>
        </w:rPr>
        <w:t>上级财政拨款增加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152</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1074.48</w:t>
      </w:r>
      <w:r>
        <w:rPr>
          <w:rFonts w:hint="eastAsia" w:ascii="仿宋_GB2312" w:eastAsia="仿宋_GB2312" w:cs="DengXian-Regular"/>
          <w:sz w:val="32"/>
          <w:szCs w:val="32"/>
        </w:rPr>
        <w:t>万元，决算数大于预算数主要是</w:t>
      </w:r>
      <w:r>
        <w:rPr>
          <w:rFonts w:hint="eastAsia" w:ascii="仿宋_GB2312" w:hAnsi="仿宋_GB2312" w:eastAsia="仿宋_GB2312" w:cs="仿宋_GB2312"/>
          <w:kern w:val="0"/>
          <w:sz w:val="32"/>
          <w:szCs w:val="32"/>
        </w:rPr>
        <w:t>人员工资调整</w:t>
      </w:r>
      <w:r>
        <w:rPr>
          <w:rFonts w:hint="eastAsia" w:ascii="仿宋_GB2312" w:hAnsi="仿宋_GB2312" w:eastAsia="仿宋_GB2312" w:cs="仿宋_GB2312"/>
          <w:kern w:val="0"/>
          <w:sz w:val="32"/>
          <w:szCs w:val="32"/>
          <w:lang w:eastAsia="zh-CN"/>
        </w:rPr>
        <w:t>支出、追加项目支出</w:t>
      </w:r>
      <w:r>
        <w:rPr>
          <w:rFonts w:hint="eastAsia" w:ascii="仿宋_GB2312" w:eastAsia="仿宋_GB2312" w:cs="DengXian-Regular"/>
          <w:sz w:val="32"/>
          <w:szCs w:val="32"/>
        </w:rPr>
        <w:t>。政府性基金预算财政拨款本年收入完成年初预算100%，比年初预算增加</w:t>
      </w:r>
      <w:r>
        <w:rPr>
          <w:rFonts w:hint="eastAsia" w:ascii="仿宋_GB2312" w:eastAsia="仿宋_GB2312" w:cs="DengXian-Regular"/>
          <w:sz w:val="32"/>
          <w:szCs w:val="32"/>
          <w:lang w:val="en-US" w:eastAsia="zh-CN"/>
        </w:rPr>
        <w:t>611.43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征地补偿支出增加</w:t>
      </w:r>
      <w:r>
        <w:rPr>
          <w:rFonts w:hint="eastAsia" w:ascii="仿宋_GB2312" w:eastAsia="仿宋_GB2312" w:cs="DengXian-Regular"/>
          <w:sz w:val="32"/>
          <w:szCs w:val="32"/>
        </w:rPr>
        <w:t>；支出完成年初预算100%</w:t>
      </w:r>
      <w:r>
        <w:rPr>
          <w:rFonts w:hint="eastAsia" w:ascii="仿宋_GB2312" w:eastAsia="仿宋_GB2312" w:cs="DengXian-Regular"/>
          <w:sz w:val="32"/>
          <w:szCs w:val="32"/>
          <w:lang w:eastAsia="zh-CN"/>
        </w:rPr>
        <w:t>，支出</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611.43</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征地补偿支出增加。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3737.94</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1782.14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47.67</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40.28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1.07</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60.43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1.62</w:t>
      </w:r>
      <w:r>
        <w:rPr>
          <w:rFonts w:hint="eastAsia" w:ascii="仿宋_GB2312" w:eastAsia="仿宋_GB2312" w:cs="DengXian-Regular"/>
          <w:sz w:val="32"/>
          <w:szCs w:val="32"/>
        </w:rPr>
        <w:t>%；</w:t>
      </w:r>
      <w:r>
        <w:rPr>
          <w:rFonts w:hint="eastAsia" w:ascii="仿宋_GB2312" w:eastAsia="仿宋_GB2312" w:cs="DengXian-Regular"/>
          <w:sz w:val="32"/>
          <w:szCs w:val="32"/>
          <w:lang w:eastAsia="zh-CN"/>
        </w:rPr>
        <w:t>文化体育与传媒</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24.13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0.65</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90.67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2.43</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134.02万元，</w:t>
      </w:r>
      <w:r>
        <w:rPr>
          <w:rFonts w:hint="eastAsia" w:ascii="仿宋_GB2312" w:eastAsia="仿宋_GB2312" w:cs="DengXian-Regular"/>
          <w:sz w:val="32"/>
          <w:szCs w:val="32"/>
        </w:rPr>
        <w:t xml:space="preserve">占 </w:t>
      </w:r>
      <w:r>
        <w:rPr>
          <w:rFonts w:hint="eastAsia" w:ascii="仿宋_GB2312" w:eastAsia="仿宋_GB2312" w:cs="DengXian-Regular"/>
          <w:sz w:val="32"/>
          <w:szCs w:val="32"/>
          <w:lang w:val="en-US" w:eastAsia="zh-CN"/>
        </w:rPr>
        <w:t>3.59</w:t>
      </w:r>
      <w:r>
        <w:rPr>
          <w:rFonts w:hint="eastAsia" w:ascii="仿宋_GB2312" w:eastAsia="仿宋_GB2312" w:cs="DengXian-Regular"/>
          <w:sz w:val="32"/>
          <w:szCs w:val="32"/>
        </w:rPr>
        <w:t>%</w:t>
      </w:r>
      <w:r>
        <w:rPr>
          <w:rFonts w:hint="eastAsia" w:ascii="仿宋_GB2312" w:eastAsia="仿宋_GB2312" w:cs="DengXian-Regular"/>
          <w:sz w:val="32"/>
          <w:szCs w:val="32"/>
          <w:lang w:eastAsia="zh-CN"/>
        </w:rPr>
        <w:t>；节能环保支出</w:t>
      </w:r>
      <w:r>
        <w:rPr>
          <w:rFonts w:hint="eastAsia" w:ascii="仿宋_GB2312" w:eastAsia="仿宋_GB2312" w:cs="DengXian-Regular"/>
          <w:sz w:val="32"/>
          <w:szCs w:val="32"/>
          <w:lang w:val="en-US" w:eastAsia="zh-CN"/>
        </w:rPr>
        <w:t>200.61万元，占5.37%；城乡社区支出825.32万元，占22.08%；农林水支出427.3万元，占11.43%；</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52.44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其他支出</w:t>
      </w:r>
      <w:r>
        <w:rPr>
          <w:rFonts w:hint="eastAsia" w:ascii="仿宋_GB2312" w:eastAsia="仿宋_GB2312" w:cs="DengXian-Regular"/>
          <w:sz w:val="32"/>
          <w:szCs w:val="32"/>
          <w:lang w:val="en-US" w:eastAsia="zh-CN"/>
        </w:rPr>
        <w:t>100.6万元，占比2.69%。</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2280.46</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2072.76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207.7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5.36</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1.84</w:t>
      </w:r>
      <w:r>
        <w:rPr>
          <w:rFonts w:eastAsia="仿宋_GB2312"/>
          <w:sz w:val="32"/>
          <w:szCs w:val="32"/>
        </w:rPr>
        <w:t>万元，降低</w:t>
      </w:r>
      <w:r>
        <w:rPr>
          <w:rFonts w:hint="eastAsia" w:eastAsia="仿宋_GB2312"/>
          <w:sz w:val="32"/>
          <w:szCs w:val="32"/>
          <w:lang w:val="en-US" w:eastAsia="zh-CN"/>
        </w:rPr>
        <w:t>26</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0.63</w:t>
      </w:r>
      <w:r>
        <w:rPr>
          <w:rFonts w:eastAsia="仿宋_GB2312"/>
          <w:sz w:val="32"/>
          <w:szCs w:val="32"/>
        </w:rPr>
        <w:t>万元，降低</w:t>
      </w:r>
      <w:r>
        <w:rPr>
          <w:rFonts w:hint="eastAsia" w:eastAsia="仿宋_GB2312"/>
          <w:sz w:val="32"/>
          <w:szCs w:val="32"/>
          <w:lang w:val="en-US" w:eastAsia="zh-CN"/>
        </w:rPr>
        <w:t>11</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本单位当年无因公出国（境）费支出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本单位当年无因公出国（境）费支出</w:t>
      </w:r>
      <w:r>
        <w:rPr>
          <w:rFonts w:eastAsia="仿宋_GB2312"/>
          <w:sz w:val="32"/>
          <w:szCs w:val="32"/>
        </w:rPr>
        <w:t>。</w:t>
      </w:r>
    </w:p>
    <w:p>
      <w:pPr>
        <w:adjustRightInd w:val="0"/>
        <w:snapToGrid w:val="0"/>
        <w:spacing w:line="584" w:lineRule="exact"/>
        <w:ind w:firstLine="643" w:firstLineChars="200"/>
        <w:rPr>
          <w:rFonts w:eastAsia="楷体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5.36</w:t>
      </w:r>
      <w:r>
        <w:rPr>
          <w:rFonts w:eastAsia="楷体_GB2312"/>
          <w:b/>
          <w:bCs/>
          <w:sz w:val="32"/>
          <w:szCs w:val="32"/>
        </w:rPr>
        <w:t>万元。</w:t>
      </w:r>
    </w:p>
    <w:p>
      <w:pPr>
        <w:adjustRightInd w:val="0"/>
        <w:snapToGrid w:val="0"/>
        <w:spacing w:line="584" w:lineRule="exact"/>
        <w:ind w:firstLine="640" w:firstLineChars="200"/>
        <w:rPr>
          <w:rFonts w:eastAsia="仿宋_GB2312"/>
          <w:b/>
          <w:bCs/>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w:t>
      </w:r>
      <w:r>
        <w:rPr>
          <w:rFonts w:hint="eastAsia" w:eastAsia="仿宋_GB2312"/>
          <w:sz w:val="32"/>
          <w:szCs w:val="32"/>
          <w:lang w:eastAsia="zh-CN"/>
        </w:rPr>
        <w:t>度</w:t>
      </w:r>
      <w:r>
        <w:rPr>
          <w:rFonts w:hint="eastAsia" w:ascii="仿宋_GB2312" w:eastAsia="仿宋_GB2312" w:cs="DengXian-Regular"/>
          <w:sz w:val="32"/>
          <w:szCs w:val="32"/>
        </w:rPr>
        <w:t>公务用车购置及运行维护费比年初预算</w:t>
      </w:r>
      <w:r>
        <w:rPr>
          <w:rFonts w:eastAsia="仿宋_GB2312"/>
          <w:sz w:val="32"/>
          <w:szCs w:val="32"/>
        </w:rPr>
        <w:t>减少</w:t>
      </w:r>
      <w:r>
        <w:rPr>
          <w:rFonts w:hint="eastAsia" w:eastAsia="仿宋_GB2312"/>
          <w:sz w:val="32"/>
          <w:szCs w:val="32"/>
          <w:lang w:val="en-US" w:eastAsia="zh-CN"/>
        </w:rPr>
        <w:t>1.84</w:t>
      </w:r>
      <w:r>
        <w:rPr>
          <w:rFonts w:eastAsia="仿宋_GB2312"/>
          <w:sz w:val="32"/>
          <w:szCs w:val="32"/>
        </w:rPr>
        <w:t>万元，降低</w:t>
      </w:r>
      <w:r>
        <w:rPr>
          <w:rFonts w:hint="eastAsia" w:eastAsia="仿宋_GB2312"/>
          <w:sz w:val="32"/>
          <w:szCs w:val="32"/>
          <w:lang w:val="en-US" w:eastAsia="zh-CN"/>
        </w:rPr>
        <w:t>26</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0.63</w:t>
      </w:r>
      <w:r>
        <w:rPr>
          <w:rFonts w:eastAsia="仿宋_GB2312"/>
          <w:sz w:val="32"/>
          <w:szCs w:val="32"/>
        </w:rPr>
        <w:t>万元，降低</w:t>
      </w:r>
      <w:r>
        <w:rPr>
          <w:rFonts w:hint="eastAsia" w:eastAsia="仿宋_GB2312"/>
          <w:sz w:val="32"/>
          <w:szCs w:val="32"/>
          <w:lang w:val="en-US" w:eastAsia="zh-CN"/>
        </w:rPr>
        <w:t>11</w:t>
      </w:r>
      <w:r>
        <w:rPr>
          <w:rFonts w:eastAsia="仿宋_GB2312"/>
          <w:sz w:val="32"/>
          <w:szCs w:val="32"/>
        </w:rPr>
        <w:t>%，主要是</w:t>
      </w:r>
      <w:r>
        <w:rPr>
          <w:rFonts w:hint="eastAsia" w:eastAsia="仿宋_GB2312"/>
          <w:sz w:val="32"/>
          <w:szCs w:val="32"/>
          <w:lang w:eastAsia="zh-CN"/>
        </w:rPr>
        <w:t>减少公务用车使用，节约开支。</w:t>
      </w:r>
      <w:r>
        <w:rPr>
          <w:rFonts w:hint="eastAsia" w:ascii="仿宋_GB2312" w:hAnsi="仿宋_GB2312" w:eastAsia="仿宋_GB2312" w:cs="仿宋_GB2312"/>
          <w:color w:val="484747"/>
          <w:kern w:val="0"/>
          <w:sz w:val="32"/>
          <w:szCs w:val="32"/>
        </w:rPr>
        <w:t>公务用车的使用严格按照上级的要求执行，坚决杜绝公车私用</w:t>
      </w:r>
      <w:r>
        <w:rPr>
          <w:rFonts w:hint="eastAsia" w:eastAsia="仿宋_GB2312"/>
          <w:sz w:val="32"/>
          <w:szCs w:val="32"/>
          <w:lang w:eastAsia="zh-CN"/>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本单位当年无公务用车购置费支出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本单位当年无公务用车购置费支出</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5.36</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8</w:t>
      </w:r>
      <w:r>
        <w:rPr>
          <w:rFonts w:eastAsia="仿宋_GB2312"/>
          <w:sz w:val="32"/>
          <w:szCs w:val="32"/>
        </w:rPr>
        <w:t>辆。</w:t>
      </w:r>
      <w:r>
        <w:rPr>
          <w:rFonts w:hint="eastAsia" w:ascii="仿宋_GB2312" w:eastAsia="仿宋_GB2312" w:cs="DengXian-Regular"/>
          <w:sz w:val="32"/>
          <w:szCs w:val="32"/>
        </w:rPr>
        <w:t>公务用车购置及运行维护费比年初预算</w:t>
      </w:r>
      <w:r>
        <w:rPr>
          <w:rFonts w:eastAsia="仿宋_GB2312"/>
          <w:sz w:val="32"/>
          <w:szCs w:val="32"/>
        </w:rPr>
        <w:t>减少</w:t>
      </w:r>
      <w:r>
        <w:rPr>
          <w:rFonts w:hint="eastAsia" w:eastAsia="仿宋_GB2312"/>
          <w:sz w:val="32"/>
          <w:szCs w:val="32"/>
          <w:lang w:val="en-US" w:eastAsia="zh-CN"/>
        </w:rPr>
        <w:t>1.84</w:t>
      </w:r>
      <w:r>
        <w:rPr>
          <w:rFonts w:eastAsia="仿宋_GB2312"/>
          <w:sz w:val="32"/>
          <w:szCs w:val="32"/>
        </w:rPr>
        <w:t>万元，降低</w:t>
      </w:r>
      <w:r>
        <w:rPr>
          <w:rFonts w:hint="eastAsia" w:eastAsia="仿宋_GB2312"/>
          <w:sz w:val="32"/>
          <w:szCs w:val="32"/>
          <w:lang w:val="en-US" w:eastAsia="zh-CN"/>
        </w:rPr>
        <w:t>26</w:t>
      </w:r>
      <w:r>
        <w:rPr>
          <w:rFonts w:eastAsia="仿宋_GB2312"/>
          <w:sz w:val="32"/>
          <w:szCs w:val="32"/>
        </w:rPr>
        <w:t>%，主要是</w:t>
      </w:r>
      <w:r>
        <w:rPr>
          <w:rFonts w:hint="eastAsia" w:eastAsia="仿宋_GB2312"/>
          <w:sz w:val="32"/>
          <w:szCs w:val="32"/>
          <w:lang w:eastAsia="zh-CN"/>
        </w:rPr>
        <w:t>减少公务用车使用，节约开支</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0.63</w:t>
      </w:r>
      <w:r>
        <w:rPr>
          <w:rFonts w:eastAsia="仿宋_GB2312"/>
          <w:sz w:val="32"/>
          <w:szCs w:val="32"/>
        </w:rPr>
        <w:t>万元，降低</w:t>
      </w:r>
      <w:r>
        <w:rPr>
          <w:rFonts w:hint="eastAsia" w:eastAsia="仿宋_GB2312"/>
          <w:sz w:val="32"/>
          <w:szCs w:val="32"/>
          <w:lang w:val="en-US" w:eastAsia="zh-CN"/>
        </w:rPr>
        <w:t>11</w:t>
      </w:r>
      <w:r>
        <w:rPr>
          <w:rFonts w:eastAsia="仿宋_GB2312"/>
          <w:sz w:val="32"/>
          <w:szCs w:val="32"/>
        </w:rPr>
        <w:t>%，主要是</w:t>
      </w:r>
      <w:r>
        <w:rPr>
          <w:rFonts w:hint="eastAsia" w:eastAsia="仿宋_GB2312"/>
          <w:sz w:val="32"/>
          <w:szCs w:val="32"/>
          <w:lang w:eastAsia="zh-CN"/>
        </w:rPr>
        <w:t>减少公务用车使用，节约开支。</w:t>
      </w:r>
      <w:r>
        <w:rPr>
          <w:rFonts w:hint="eastAsia" w:ascii="仿宋_GB2312" w:hAnsi="仿宋_GB2312" w:eastAsia="仿宋_GB2312" w:cs="仿宋_GB2312"/>
          <w:color w:val="484747"/>
          <w:kern w:val="0"/>
          <w:sz w:val="32"/>
          <w:szCs w:val="32"/>
        </w:rPr>
        <w:t>公务用车的使用严格按照上级的要求执行，坚决杜绝公车私用</w:t>
      </w:r>
      <w:r>
        <w:rPr>
          <w:rFonts w:hint="eastAsia" w:eastAsia="仿宋_GB2312"/>
          <w:sz w:val="32"/>
          <w:szCs w:val="32"/>
          <w:lang w:eastAsia="zh-CN"/>
        </w:rPr>
        <w:t>。</w:t>
      </w:r>
    </w:p>
    <w:p>
      <w:pPr>
        <w:adjustRightInd w:val="0"/>
        <w:snapToGrid w:val="0"/>
        <w:spacing w:line="584" w:lineRule="exact"/>
        <w:ind w:firstLine="643" w:firstLineChars="200"/>
        <w:rPr>
          <w:rFonts w:ascii="仿宋_GB2312" w:eastAsia="仿宋_GB2312" w:cs="Times New Roman"/>
          <w:sz w:val="32"/>
          <w:szCs w:val="32"/>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本单位当年无公务接待费支出</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540" w:lineRule="atLeast"/>
        <w:ind w:firstLine="787" w:firstLineChars="246"/>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spacing w:line="540" w:lineRule="atLeast"/>
        <w:ind w:firstLine="790" w:firstLineChars="246"/>
        <w:jc w:val="left"/>
        <w:rPr>
          <w:rFonts w:ascii="仿宋_GB2312" w:hAnsi="楷体" w:eastAsia="仿宋_GB2312" w:cs="宋体"/>
          <w:b/>
          <w:bCs/>
          <w:kern w:val="0"/>
          <w:sz w:val="32"/>
          <w:szCs w:val="32"/>
        </w:rPr>
      </w:pPr>
      <w:r>
        <w:rPr>
          <w:rFonts w:hint="eastAsia" w:ascii="仿宋_GB2312" w:hAnsi="楷体" w:eastAsia="仿宋_GB2312" w:cs="宋体"/>
          <w:b/>
          <w:bCs/>
          <w:kern w:val="0"/>
          <w:sz w:val="32"/>
          <w:szCs w:val="32"/>
        </w:rPr>
        <w:t>总体绩效目标：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r>
        <w:rPr>
          <w:rFonts w:hint="eastAsia" w:ascii="仿宋_GB2312" w:eastAsia="仿宋_GB2312" w:cs="DengXian-Regular"/>
          <w:sz w:val="32"/>
          <w:szCs w:val="32"/>
          <w:lang w:eastAsia="zh-CN"/>
        </w:rPr>
        <w:t>（详见附表）</w:t>
      </w:r>
    </w:p>
    <w:p>
      <w:pPr>
        <w:ind w:firstLine="720" w:firstLineChars="225"/>
        <w:rPr>
          <w:rFonts w:hint="eastAsia" w:ascii="仿宋_GB2312" w:eastAsia="仿宋_GB2312" w:cs="DengXian-Regular"/>
          <w:sz w:val="32"/>
          <w:szCs w:val="32"/>
          <w:lang w:eastAsia="zh-CN"/>
        </w:rPr>
      </w:pPr>
      <w:r>
        <w:rPr>
          <w:rFonts w:hint="eastAsia" w:ascii="仿宋_GB2312" w:eastAsia="仿宋_GB2312" w:cs="DengXian-Regular"/>
          <w:sz w:val="32"/>
          <w:szCs w:val="32"/>
        </w:rPr>
        <w:t>（三）重点项目绩效评价结果</w:t>
      </w:r>
      <w:r>
        <w:rPr>
          <w:rFonts w:hint="eastAsia" w:ascii="仿宋_GB2312" w:eastAsia="仿宋_GB2312" w:cs="DengXian-Regular"/>
          <w:sz w:val="32"/>
          <w:szCs w:val="32"/>
          <w:lang w:eastAsia="zh-CN"/>
        </w:rPr>
        <w:t>（详见附表）</w:t>
      </w: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ind w:firstLine="720" w:firstLineChars="225"/>
        <w:rPr>
          <w:rFonts w:hint="eastAsia" w:ascii="仿宋_GB2312" w:eastAsia="仿宋_GB2312" w:cs="DengXian-Regular"/>
          <w:sz w:val="32"/>
          <w:szCs w:val="32"/>
          <w:lang w:eastAsia="zh-CN"/>
        </w:rPr>
      </w:pPr>
    </w:p>
    <w:p>
      <w:pPr>
        <w:rPr>
          <w:rFonts w:hint="eastAsia" w:ascii="仿宋_GB2312" w:eastAsia="仿宋_GB2312" w:cs="DengXian-Regular"/>
          <w:sz w:val="32"/>
          <w:szCs w:val="32"/>
          <w:lang w:eastAsia="zh-CN"/>
        </w:rPr>
      </w:pPr>
    </w:p>
    <w:p>
      <w:pPr>
        <w:pStyle w:val="6"/>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w:t>
      </w:r>
      <w:r>
        <w:rPr>
          <w:rFonts w:hint="eastAsia" w:ascii="方正仿宋简体" w:hAnsi="宋体" w:eastAsia="方正仿宋简体" w:cs="仿宋_GB2312"/>
          <w:b/>
          <w:color w:val="333333"/>
          <w:sz w:val="21"/>
          <w:szCs w:val="21"/>
          <w:shd w:val="clear" w:color="auto" w:fill="FFFFFF"/>
          <w:lang w:eastAsia="zh-CN"/>
        </w:rPr>
        <w:t>文安</w:t>
      </w:r>
      <w:r>
        <w:rPr>
          <w:rFonts w:hint="eastAsia" w:ascii="方正仿宋简体" w:hAnsi="宋体" w:eastAsia="方正仿宋简体" w:cs="仿宋_GB2312"/>
          <w:b/>
          <w:color w:val="333333"/>
          <w:sz w:val="21"/>
          <w:szCs w:val="21"/>
          <w:shd w:val="clear" w:color="auto" w:fill="FFFFFF"/>
        </w:rPr>
        <w:t>镇人民政府                                       单位：万元</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409"/>
        <w:gridCol w:w="2682"/>
        <w:gridCol w:w="1563"/>
        <w:gridCol w:w="427"/>
        <w:gridCol w:w="427"/>
        <w:gridCol w:w="42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11"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1357"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1508"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890" w:type="pct"/>
            <w:vMerge w:val="restar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832" w:type="pct"/>
            <w:gridSpan w:val="4"/>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11"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357"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508"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890" w:type="pct"/>
            <w:vMerge w:val="continue"/>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1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1357"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1508"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890"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全区</w:t>
            </w:r>
            <w:r>
              <w:rPr>
                <w:rFonts w:hint="cs" w:ascii="方正书宋_GBK" w:eastAsia="方正书宋_GBK"/>
                <w:szCs w:val="21"/>
                <w:cs/>
              </w:rPr>
              <w:t>“</w:t>
            </w:r>
            <w:r>
              <w:rPr>
                <w:rFonts w:hint="eastAsia" w:ascii="方正书宋_GBK" w:eastAsia="方正书宋_GBK"/>
                <w:szCs w:val="21"/>
              </w:rPr>
              <w:t>公务内网</w:t>
            </w:r>
            <w:r>
              <w:rPr>
                <w:rFonts w:hint="cs" w:ascii="方正书宋_GBK" w:eastAsia="方正书宋_GBK"/>
                <w:szCs w:val="21"/>
                <w:cs/>
              </w:rPr>
              <w:t>”</w:t>
            </w:r>
            <w:r>
              <w:rPr>
                <w:rFonts w:hint="eastAsia" w:ascii="方正书宋_GBK" w:eastAsia="方正书宋_GBK"/>
                <w:szCs w:val="21"/>
              </w:rPr>
              <w:t>的管理；组织协调各类信息资源的上网和扩充，保障网络和信息安全。</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1508" w:type="pct"/>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w:t>
            </w:r>
            <w:r>
              <w:rPr>
                <w:rFonts w:hint="cs" w:ascii="方正书宋_GBK" w:eastAsia="方正书宋_GBK"/>
                <w:szCs w:val="21"/>
                <w:cs/>
              </w:rPr>
              <w:t>“</w:t>
            </w:r>
            <w:r>
              <w:rPr>
                <w:rFonts w:hint="eastAsia" w:ascii="方正书宋_GBK" w:eastAsia="方正书宋_GBK"/>
                <w:szCs w:val="21"/>
              </w:rPr>
              <w:t>放心种</w:t>
            </w:r>
            <w:r>
              <w:rPr>
                <w:rFonts w:hint="cs" w:ascii="方正书宋_GBK" w:eastAsia="方正书宋_GBK"/>
                <w:szCs w:val="21"/>
                <w:cs/>
              </w:rPr>
              <w:t>”</w:t>
            </w:r>
            <w:r>
              <w:rPr>
                <w:rFonts w:hint="eastAsia" w:ascii="方正书宋_GBK" w:eastAsia="方正书宋_GBK"/>
                <w:szCs w:val="21"/>
              </w:rPr>
              <w:t>。</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vAlign w:val="center"/>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w:t>
            </w:r>
            <w:r>
              <w:rPr>
                <w:rFonts w:hint="cs" w:ascii="方正书宋_GBK" w:eastAsia="方正书宋_GBK"/>
                <w:szCs w:val="21"/>
                <w:cs/>
              </w:rPr>
              <w:t>“</w:t>
            </w:r>
            <w:r>
              <w:rPr>
                <w:rFonts w:hint="eastAsia" w:ascii="方正书宋_GBK" w:eastAsia="方正书宋_GBK"/>
                <w:szCs w:val="21"/>
              </w:rPr>
              <w:t>两非</w:t>
            </w:r>
            <w:r>
              <w:rPr>
                <w:rFonts w:hint="cs" w:ascii="方正书宋_GBK" w:eastAsia="方正书宋_GBK"/>
                <w:szCs w:val="21"/>
                <w:cs/>
              </w:rPr>
              <w:t>”</w:t>
            </w:r>
            <w:r>
              <w:rPr>
                <w:rFonts w:hint="eastAsia" w:ascii="方正书宋_GBK" w:eastAsia="方正书宋_GBK"/>
                <w:szCs w:val="21"/>
              </w:rPr>
              <w:t>、统计监测、考核评估等重点工作。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201</w:t>
            </w:r>
            <w:r>
              <w:rPr>
                <w:rFonts w:hint="eastAsia" w:ascii="方正书宋_GBK" w:eastAsia="方正书宋_GBK"/>
                <w:szCs w:val="21"/>
                <w:lang w:val="en-US" w:eastAsia="zh-CN"/>
              </w:rPr>
              <w:t>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508" w:type="pct"/>
            <w:vAlign w:val="center"/>
          </w:tcPr>
          <w:p>
            <w:pPr>
              <w:spacing w:line="300" w:lineRule="exact"/>
              <w:jc w:val="center"/>
              <w:rPr>
                <w:rFonts w:hint="eastAsia" w:ascii="方正书宋_GBK" w:eastAsia="方正书宋_GBK"/>
                <w:szCs w:val="21"/>
                <w:lang w:eastAsia="zh-CN"/>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w:t>
            </w:r>
            <w:r>
              <w:rPr>
                <w:rFonts w:hint="cs" w:ascii="方正书宋_GBK" w:eastAsia="方正书宋_GBK"/>
                <w:szCs w:val="21"/>
                <w:cs/>
              </w:rPr>
              <w:t>“</w:t>
            </w:r>
            <w:r>
              <w:rPr>
                <w:rFonts w:hint="eastAsia" w:ascii="方正书宋_GBK" w:eastAsia="方正书宋_GBK"/>
                <w:szCs w:val="21"/>
              </w:rPr>
              <w:t>三农</w:t>
            </w:r>
            <w:r>
              <w:rPr>
                <w:rFonts w:hint="cs" w:ascii="方正书宋_GBK" w:eastAsia="方正书宋_GBK"/>
                <w:szCs w:val="21"/>
                <w:cs/>
              </w:rPr>
              <w:t>”</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890" w:type="pct"/>
            <w:vAlign w:val="center"/>
          </w:tcPr>
          <w:p>
            <w:pPr>
              <w:spacing w:line="300" w:lineRule="exact"/>
              <w:jc w:val="center"/>
              <w:rPr>
                <w:rFonts w:ascii="方正书宋_GBK" w:eastAsia="方正书宋_GBK"/>
                <w:szCs w:val="21"/>
              </w:rPr>
            </w:pP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1357" w:type="pct"/>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1508" w:type="pct"/>
            <w:vAlign w:val="center"/>
          </w:tcPr>
          <w:p>
            <w:pPr>
              <w:spacing w:line="300" w:lineRule="exact"/>
              <w:jc w:val="center"/>
              <w:rPr>
                <w:rFonts w:ascii="方正书宋_GBK" w:eastAsia="方正书宋_GBK"/>
                <w:szCs w:val="21"/>
              </w:rPr>
            </w:pPr>
            <w:r>
              <w:rPr>
                <w:rFonts w:hint="eastAsia" w:ascii="方正书宋_GBK" w:eastAsia="方正书宋_GBK"/>
                <w:szCs w:val="21"/>
                <w:lang w:val="en-US" w:eastAsia="zh-CN"/>
              </w:rPr>
              <w:t>2018</w:t>
            </w:r>
          </w:p>
        </w:tc>
        <w:tc>
          <w:tcPr>
            <w:tcW w:w="890" w:type="pct"/>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215" w:type="pct"/>
            <w:vAlign w:val="center"/>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205" w:type="pct"/>
          </w:tcPr>
          <w:p>
            <w:pPr>
              <w:pStyle w:val="6"/>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205"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206" w:type="pct"/>
          </w:tcPr>
          <w:p>
            <w:pPr>
              <w:pStyle w:val="6"/>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6"/>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pStyle w:val="2"/>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ind w:firstLine="640" w:firstLineChars="200"/>
        <w:rPr>
          <w:rFonts w:ascii="仿宋_GB2312" w:hAnsi="仿宋_GB2312" w:eastAsia="仿宋_GB2312" w:cs="仿宋_GB2312"/>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2280.46</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228.43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11.13%，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人员调入、调资开支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53.46</w:t>
      </w:r>
      <w:r>
        <w:rPr>
          <w:rFonts w:eastAsia="仿宋_GB2312"/>
          <w:sz w:val="32"/>
          <w:szCs w:val="32"/>
        </w:rPr>
        <w:t>万元，增长</w:t>
      </w:r>
      <w:r>
        <w:rPr>
          <w:rFonts w:hint="eastAsia" w:eastAsia="仿宋_GB2312"/>
          <w:sz w:val="32"/>
          <w:szCs w:val="32"/>
          <w:lang w:val="en-US" w:eastAsia="zh-CN"/>
        </w:rPr>
        <w:t>2.4</w:t>
      </w:r>
      <w:r>
        <w:rPr>
          <w:rFonts w:eastAsia="仿宋_GB2312"/>
          <w:sz w:val="32"/>
          <w:szCs w:val="32"/>
        </w:rPr>
        <w:t>%，主要是</w:t>
      </w:r>
      <w:r>
        <w:rPr>
          <w:rFonts w:hint="eastAsia" w:ascii="仿宋_GB2312" w:eastAsia="仿宋_GB2312" w:cs="DengXian-Regular"/>
          <w:sz w:val="32"/>
          <w:szCs w:val="32"/>
          <w:lang w:eastAsia="zh-CN"/>
        </w:rPr>
        <w:t>人员调入、调资开支</w:t>
      </w:r>
      <w:r>
        <w:rPr>
          <w:rFonts w:eastAsia="仿宋_GB2312"/>
          <w:sz w:val="32"/>
          <w:szCs w:val="32"/>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pStyle w:val="3"/>
        <w:spacing w:before="0" w:after="0" w:line="580" w:lineRule="exact"/>
        <w:ind w:firstLine="640" w:firstLineChars="200"/>
        <w:rPr>
          <w:rFonts w:hint="eastAsia" w:ascii="仿宋_GB2312" w:hAnsi="Calibri" w:eastAsia="仿宋_GB2312" w:cs="DengXian-Regular"/>
          <w:b w:val="0"/>
          <w:bCs w:val="0"/>
          <w:kern w:val="2"/>
          <w:sz w:val="32"/>
          <w:szCs w:val="32"/>
          <w:lang w:val="en-US" w:eastAsia="zh-CN" w:bidi="ar-SA"/>
        </w:rPr>
      </w:pPr>
      <w:r>
        <w:rPr>
          <w:rFonts w:hint="eastAsia" w:ascii="仿宋_GB2312" w:hAnsi="Calibri" w:eastAsia="仿宋_GB2312" w:cs="DengXian-Regular"/>
          <w:b w:val="0"/>
          <w:bCs w:val="0"/>
          <w:kern w:val="2"/>
          <w:sz w:val="32"/>
          <w:szCs w:val="32"/>
          <w:lang w:val="en-US" w:eastAsia="zh-CN" w:bidi="ar-SA"/>
        </w:rPr>
        <w:t>本部门2018年度政府采购支出总额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万元，从采购类型来看，政府采购货物支出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万元、政府采购工程支出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万元、政府采购服务支出</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万元。授予中小企业合同金</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%，其中授予小微企业合同金额</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万元，占政府采购支出总额的</w:t>
      </w:r>
      <w:r>
        <w:rPr>
          <w:rFonts w:hint="eastAsia" w:ascii="仿宋_GB2312" w:eastAsia="仿宋_GB2312" w:cs="DengXian-Regular"/>
          <w:b w:val="0"/>
          <w:bCs w:val="0"/>
          <w:kern w:val="2"/>
          <w:sz w:val="32"/>
          <w:szCs w:val="32"/>
          <w:lang w:val="en-US" w:eastAsia="zh-CN" w:bidi="ar-SA"/>
        </w:rPr>
        <w:t>0</w:t>
      </w:r>
      <w:r>
        <w:rPr>
          <w:rFonts w:hint="eastAsia" w:ascii="仿宋_GB2312" w:hAnsi="Calibri" w:eastAsia="仿宋_GB2312" w:cs="DengXian-Regular"/>
          <w:b w:val="0"/>
          <w:bCs w:val="0"/>
          <w:kern w:val="2"/>
          <w:sz w:val="32"/>
          <w:szCs w:val="32"/>
          <w:lang w:val="en-US" w:eastAsia="zh-CN" w:bidi="ar-SA"/>
        </w:rPr>
        <w:t>%。</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辆，</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p>
    <w:p>
      <w:pPr>
        <w:pStyle w:val="3"/>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eastAsia="zh-CN"/>
        </w:rPr>
        <w:t>文安镇政府</w:t>
      </w:r>
      <w:r>
        <w:rPr>
          <w:rFonts w:hint="eastAsia" w:ascii="仿宋_GB2312" w:eastAsia="仿宋_GB2312" w:cs="DengXian-Regular"/>
          <w:sz w:val="32"/>
          <w:szCs w:val="32"/>
        </w:rPr>
        <w:t>无收支及结转结余情况，故以空表列示。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spacing w:line="584" w:lineRule="exact"/>
        <w:ind w:firstLine="640" w:firstLineChars="200"/>
        <w:rPr>
          <w:rFonts w:hint="eastAsia" w:ascii="仿宋_GB2312" w:eastAsia="仿宋_GB2312" w:cs="DengXian-Regular"/>
          <w:sz w:val="32"/>
          <w:szCs w:val="32"/>
        </w:rPr>
      </w:pP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lang w:eastAsia="zh-CN"/>
        </w:rPr>
        <w:t>第四部分：</w:t>
      </w:r>
      <w:r>
        <w:rPr>
          <w:rFonts w:hint="eastAsia" w:ascii="黑体" w:hAnsi="Times New Roman" w:eastAsia="黑体" w:cs="Times New Roman"/>
          <w:sz w:val="32"/>
          <w:szCs w:val="32"/>
        </w:rPr>
        <w:t>名词解释</w:t>
      </w:r>
      <w:bookmarkStart w:id="0" w:name="_GoBack"/>
      <w:bookmarkEnd w:id="0"/>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ArialUnicodeMS">
    <w:altName w:val="Malgun Gothic"/>
    <w:panose1 w:val="00000000000000000000"/>
    <w:charset w:val="81"/>
    <w:family w:val="auto"/>
    <w:pitch w:val="default"/>
    <w:sig w:usb0="00000000" w:usb1="0000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1E4"/>
    <w:rsid w:val="002074BF"/>
    <w:rsid w:val="002B4F16"/>
    <w:rsid w:val="00440BCC"/>
    <w:rsid w:val="0062256B"/>
    <w:rsid w:val="0062271D"/>
    <w:rsid w:val="00651D15"/>
    <w:rsid w:val="00765A07"/>
    <w:rsid w:val="008B66CA"/>
    <w:rsid w:val="00981A70"/>
    <w:rsid w:val="00B05F37"/>
    <w:rsid w:val="00C61DF0"/>
    <w:rsid w:val="00C76D09"/>
    <w:rsid w:val="00CA03F2"/>
    <w:rsid w:val="00D11161"/>
    <w:rsid w:val="00D121E4"/>
    <w:rsid w:val="00DE4E53"/>
    <w:rsid w:val="00E41D6B"/>
    <w:rsid w:val="00E72080"/>
    <w:rsid w:val="00F94BB7"/>
    <w:rsid w:val="04146A00"/>
    <w:rsid w:val="053503B7"/>
    <w:rsid w:val="078649D8"/>
    <w:rsid w:val="08882DE7"/>
    <w:rsid w:val="09BF68C9"/>
    <w:rsid w:val="0A764B29"/>
    <w:rsid w:val="0A931009"/>
    <w:rsid w:val="0C0317FF"/>
    <w:rsid w:val="0C304469"/>
    <w:rsid w:val="0D932B9E"/>
    <w:rsid w:val="0EA74951"/>
    <w:rsid w:val="0F3305A5"/>
    <w:rsid w:val="100B3BFF"/>
    <w:rsid w:val="104F530E"/>
    <w:rsid w:val="10725834"/>
    <w:rsid w:val="118E6F3E"/>
    <w:rsid w:val="149A3E0E"/>
    <w:rsid w:val="16AF42AA"/>
    <w:rsid w:val="16D34EAD"/>
    <w:rsid w:val="16F836B7"/>
    <w:rsid w:val="196B6816"/>
    <w:rsid w:val="1B0C57B7"/>
    <w:rsid w:val="1C8E705D"/>
    <w:rsid w:val="1CC10272"/>
    <w:rsid w:val="1EC958DA"/>
    <w:rsid w:val="1F8A2D48"/>
    <w:rsid w:val="245C2210"/>
    <w:rsid w:val="250229FD"/>
    <w:rsid w:val="26416C7A"/>
    <w:rsid w:val="28FA5FE3"/>
    <w:rsid w:val="29324A10"/>
    <w:rsid w:val="29712C05"/>
    <w:rsid w:val="29B636F6"/>
    <w:rsid w:val="2ADB2A7A"/>
    <w:rsid w:val="2B114E71"/>
    <w:rsid w:val="2B657C7D"/>
    <w:rsid w:val="2CC14385"/>
    <w:rsid w:val="2CD62069"/>
    <w:rsid w:val="2DEE2DDA"/>
    <w:rsid w:val="2E7865FE"/>
    <w:rsid w:val="2F177BC4"/>
    <w:rsid w:val="300E5F95"/>
    <w:rsid w:val="30FB16EA"/>
    <w:rsid w:val="31DC0824"/>
    <w:rsid w:val="328D48B5"/>
    <w:rsid w:val="33596C89"/>
    <w:rsid w:val="340F2328"/>
    <w:rsid w:val="34196DDB"/>
    <w:rsid w:val="35935785"/>
    <w:rsid w:val="359F78DB"/>
    <w:rsid w:val="35C650E4"/>
    <w:rsid w:val="388575E5"/>
    <w:rsid w:val="3B0558A0"/>
    <w:rsid w:val="3B905AFD"/>
    <w:rsid w:val="3BB12066"/>
    <w:rsid w:val="3C11458D"/>
    <w:rsid w:val="3C843BF8"/>
    <w:rsid w:val="3CF131F4"/>
    <w:rsid w:val="3E03155E"/>
    <w:rsid w:val="3ED649CC"/>
    <w:rsid w:val="4145390F"/>
    <w:rsid w:val="445A579E"/>
    <w:rsid w:val="462B6603"/>
    <w:rsid w:val="46664784"/>
    <w:rsid w:val="46BE44AE"/>
    <w:rsid w:val="47460B8B"/>
    <w:rsid w:val="489310E0"/>
    <w:rsid w:val="48DE5A3F"/>
    <w:rsid w:val="48E77B67"/>
    <w:rsid w:val="4A7C1FC7"/>
    <w:rsid w:val="4AAB32CB"/>
    <w:rsid w:val="4CDA14FB"/>
    <w:rsid w:val="4D7339AC"/>
    <w:rsid w:val="4DCF11FC"/>
    <w:rsid w:val="4E1F3D27"/>
    <w:rsid w:val="4F266EB7"/>
    <w:rsid w:val="50A57AC6"/>
    <w:rsid w:val="51D0668B"/>
    <w:rsid w:val="52B95C64"/>
    <w:rsid w:val="52F55BFB"/>
    <w:rsid w:val="53021494"/>
    <w:rsid w:val="552C18D0"/>
    <w:rsid w:val="55A70208"/>
    <w:rsid w:val="58061F2F"/>
    <w:rsid w:val="5B4450FB"/>
    <w:rsid w:val="5F3A584D"/>
    <w:rsid w:val="618367A8"/>
    <w:rsid w:val="61DC2F02"/>
    <w:rsid w:val="64E65355"/>
    <w:rsid w:val="6519770B"/>
    <w:rsid w:val="660A2D7A"/>
    <w:rsid w:val="663B6ABC"/>
    <w:rsid w:val="666F0E0D"/>
    <w:rsid w:val="66D346B9"/>
    <w:rsid w:val="67331601"/>
    <w:rsid w:val="67B83273"/>
    <w:rsid w:val="690A61D2"/>
    <w:rsid w:val="6B175CBE"/>
    <w:rsid w:val="6CA3749D"/>
    <w:rsid w:val="728035D8"/>
    <w:rsid w:val="77BE2D81"/>
    <w:rsid w:val="77E27354"/>
    <w:rsid w:val="79702DE8"/>
    <w:rsid w:val="7CFE2EE6"/>
    <w:rsid w:val="7D8F0F15"/>
    <w:rsid w:val="7E182067"/>
    <w:rsid w:val="7FAF70D2"/>
    <w:rsid w:val="7FB14B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09D1-AD2D-46E5-BB53-25A4656EEE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1952</Words>
  <Characters>11131</Characters>
  <Lines>92</Lines>
  <Paragraphs>26</Paragraphs>
  <TotalTime>2</TotalTime>
  <ScaleCrop>false</ScaleCrop>
  <LinksUpToDate>false</LinksUpToDate>
  <CharactersWithSpaces>13057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馒头</cp:lastModifiedBy>
  <dcterms:modified xsi:type="dcterms:W3CDTF">2021-05-28T02:57:19Z</dcterms:modified>
  <dc:title>河北省文安县孙氏镇人民政府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F00475FB47DE4039AFA5A02B787E8A95</vt:lpwstr>
  </property>
</Properties>
</file>